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stabilization-theory"/>
    <w:p>
      <w:pPr>
        <w:pStyle w:val="Heading1"/>
      </w:pPr>
      <w:r>
        <w:t xml:space="preserve">Stabilization Theory</w:t>
      </w:r>
    </w:p>
    <w:bookmarkStart w:id="9" w:name="X437de6be30a1c7b04d260f05a5ac025de9409c5"/>
    <w:p>
      <w:pPr>
        <w:pStyle w:val="Heading3"/>
      </w:pPr>
      <w:r>
        <w:t xml:space="preserve">A cross-domain framework for how things become distinct, persist, transform, and dissolve</w:t>
      </w:r>
    </w:p>
    <w:p>
      <w:pPr>
        <w:pStyle w:val="FirstParagraph"/>
      </w:pPr>
      <w:r>
        <w:rPr>
          <w:b/>
          <w:bCs/>
        </w:rPr>
        <w:t xml:space="preserve">Stabilization Theory (ST)</w:t>
      </w:r>
      <w:r>
        <w:t xml:space="preserve"> </w:t>
      </w:r>
      <w:r>
        <w:t xml:space="preserve">is a structural theory of how configurations exist over time. It asks a simple question across very different kinds of systems:</w:t>
      </w:r>
      <w:r>
        <w:t xml:space="preserve"> </w:t>
      </w:r>
      <w:r>
        <w:rPr>
          <w:b/>
          <w:bCs/>
        </w:rPr>
        <w:t xml:space="preserve">What makes a configuration become or remain distinguishable as the configuration being tracked?</w:t>
      </w:r>
    </w:p>
    <w:p>
      <w:pPr>
        <w:pStyle w:val="BodyText"/>
      </w:pPr>
      <w:r>
        <w:t xml:space="preserve">ST proposes that this can be analyzed through the same basic architecture across domains:</w:t>
      </w:r>
    </w:p>
    <w:bookmarkEnd w:id="9"/>
    <w:bookmarkStart w:id="15" w:name="s-p-c"/>
    <w:p>
      <w:pPr>
        <w:pStyle w:val="Heading2"/>
      </w:pPr>
      <w:r>
        <w:rPr>
          <w:b/>
          <w:bCs/>
        </w:rPr>
        <w:t xml:space="preserve">S = P + C</w:t>
      </w:r>
    </w:p>
    <w:p>
      <w:pPr>
        <w:pStyle w:val="FirstParagraph"/>
      </w:pPr>
      <w:r>
        <w:t xml:space="preserve">The expression is relational, not arithmetic.</w:t>
      </w:r>
    </w:p>
    <w:p>
      <w:pPr>
        <w:pStyle w:val="BodyText"/>
      </w:pPr>
      <w:r>
        <w:rPr>
          <w:b/>
          <w:bCs/>
        </w:rPr>
        <w:t xml:space="preserve">Pressure (P)</w:t>
      </w:r>
      <w:r>
        <w:br/>
      </w:r>
      <w:r>
        <w:t xml:space="preserve">A difference that bears on the conditions under which a specified configuration can become or remain discriminable.</w:t>
      </w:r>
    </w:p>
    <w:p>
      <w:pPr>
        <w:pStyle w:val="BodyText"/>
      </w:pPr>
      <w:r>
        <w:rPr>
          <w:b/>
          <w:bCs/>
        </w:rPr>
        <w:t xml:space="preserve">Constraint (C)</w:t>
      </w:r>
      <w:r>
        <w:br/>
      </w:r>
      <w:r>
        <w:t xml:space="preserve">The bounds that delimit what configurations or changes are admissible under that pressure. Constraint both restricts possibility and channels the forms an outcome can take.</w:t>
      </w:r>
    </w:p>
    <w:p>
      <w:pPr>
        <w:pStyle w:val="BodyText"/>
      </w:pPr>
      <w:r>
        <w:rPr>
          <w:b/>
          <w:bCs/>
        </w:rPr>
        <w:t xml:space="preserve">Stabilization (S)</w:t>
      </w:r>
      <w:r>
        <w:br/>
      </w:r>
      <w:r>
        <w:t xml:space="preserve">The condition in which the specified configuration becomes or remains discriminable under the pressure–constraint relation.</w:t>
      </w:r>
    </w:p>
    <w:bookmarkStart w:id="10" w:name="four-possible-outcomes"/>
    <w:p>
      <w:pPr>
        <w:pStyle w:val="Heading3"/>
      </w:pPr>
      <w:r>
        <w:t xml:space="preserve">Four possible outcomes</w:t>
      </w:r>
    </w:p>
    <w:p>
      <w:pPr>
        <w:pStyle w:val="FirstParagraph"/>
      </w:pPr>
      <w:r>
        <w:t xml:space="preserve">Relative to a specified configuration, ST identifies four exhaustive outcomes:</w:t>
      </w:r>
    </w:p>
    <w:p>
      <w:pPr>
        <w:pStyle w:val="BodyText"/>
      </w:pPr>
      <w:r>
        <w:rPr>
          <w:b/>
          <w:bCs/>
        </w:rPr>
        <w:t xml:space="preserve">Entry</w:t>
      </w:r>
      <w:r>
        <w:t xml:space="preserve"> </w:t>
      </w:r>
      <w:r>
        <w:t xml:space="preserve">— the configuration becomes discriminable.</w:t>
      </w:r>
      <w:r>
        <w:br/>
      </w:r>
      <w:r>
        <w:rPr>
          <w:b/>
          <w:bCs/>
        </w:rPr>
        <w:t xml:space="preserve">Persistence</w:t>
      </w:r>
      <w:r>
        <w:t xml:space="preserve"> </w:t>
      </w:r>
      <w:r>
        <w:t xml:space="preserve">— the configuration remains discriminable without reconfiguration.</w:t>
      </w:r>
      <w:r>
        <w:br/>
      </w:r>
      <w:r>
        <w:rPr>
          <w:b/>
          <w:bCs/>
        </w:rPr>
        <w:t xml:space="preserve">Transformation</w:t>
      </w:r>
      <w:r>
        <w:t xml:space="preserve"> </w:t>
      </w:r>
      <w:r>
        <w:t xml:space="preserve">— the configuration remains discriminable through reconfiguration.</w:t>
      </w:r>
      <w:r>
        <w:br/>
      </w:r>
      <w:r>
        <w:rPr>
          <w:b/>
          <w:bCs/>
        </w:rPr>
        <w:t xml:space="preserve">Dissolution</w:t>
      </w:r>
      <w:r>
        <w:t xml:space="preserve"> </w:t>
      </w:r>
      <w:r>
        <w:t xml:space="preserve">— the configuration ceases to remain discriminable.</w:t>
      </w:r>
    </w:p>
    <w:bookmarkEnd w:id="10"/>
    <w:bookmarkStart w:id="11" w:name="why-a-cross-domain-theory"/>
    <w:p>
      <w:pPr>
        <w:pStyle w:val="Heading3"/>
      </w:pPr>
      <w:r>
        <w:t xml:space="preserve">Why a cross-domain theory?</w:t>
      </w:r>
    </w:p>
    <w:p>
      <w:pPr>
        <w:pStyle w:val="FirstParagraph"/>
      </w:pPr>
      <w:r>
        <w:t xml:space="preserve">ST treats pressure, constraint, and stabilization as</w:t>
      </w:r>
      <w:r>
        <w:t xml:space="preserve"> </w:t>
      </w:r>
      <w:r>
        <w:rPr>
          <w:b/>
          <w:bCs/>
        </w:rPr>
        <w:t xml:space="preserve">structural roles rather than particular substances or mechanisms</w:t>
      </w:r>
      <w:r>
        <w:t xml:space="preserve">. The phenomena occupying those roles may therefore differ radically across physical, biological, cognitive, social, or institutional systems while the architecture remains fixed.</w:t>
      </w:r>
    </w:p>
    <w:p>
      <w:pPr>
        <w:pStyle w:val="BodyText"/>
      </w:pPr>
      <w:r>
        <w:t xml:space="preserve">ST does not replace domain-specific explanation. Physics remains responsible for physical evidence, biology for biological evidence, law for legal validity, and so forth. ST asks what structural roles the relevant evidence identifies in relation to the configuration being analyzed.</w:t>
      </w:r>
    </w:p>
    <w:bookmarkEnd w:id="11"/>
    <w:bookmarkStart w:id="12" w:name="specification-matters"/>
    <w:p>
      <w:pPr>
        <w:pStyle w:val="Heading3"/>
      </w:pPr>
      <w:r>
        <w:t xml:space="preserve">Specification matters</w:t>
      </w:r>
    </w:p>
    <w:p>
      <w:pPr>
        <w:pStyle w:val="FirstParagraph"/>
      </w:pPr>
      <w:r>
        <w:t xml:space="preserve">Before an ST analysis is made, the</w:t>
      </w:r>
      <w:r>
        <w:t xml:space="preserve"> </w:t>
      </w:r>
      <w:r>
        <w:rPr>
          <w:b/>
          <w:bCs/>
        </w:rPr>
        <w:t xml:space="preserve">configuration being tracked</w:t>
      </w:r>
      <w:r>
        <w:t xml:space="preserve"> </w:t>
      </w:r>
      <w:r>
        <w:t xml:space="preserve">and the</w:t>
      </w:r>
      <w:r>
        <w:t xml:space="preserve"> </w:t>
      </w:r>
      <w:r>
        <w:rPr>
          <w:b/>
          <w:bCs/>
        </w:rPr>
        <w:t xml:space="preserve">difference being followed</w:t>
      </w:r>
      <w:r>
        <w:t xml:space="preserve"> </w:t>
      </w:r>
      <w:r>
        <w:t xml:space="preserve">must be specified independently of the outcome. The same situation can support different valid analyses depending on what is being tracked. A ball, for example, can be analyzed as a material object or as a position within a game; a statute can be analyzed as a text or as an operative rule within a legal system.</w:t>
      </w:r>
    </w:p>
    <w:bookmarkEnd w:id="12"/>
    <w:bookmarkStart w:id="13" w:name="stabilization-builds-history"/>
    <w:p>
      <w:pPr>
        <w:pStyle w:val="Heading3"/>
      </w:pPr>
      <w:r>
        <w:t xml:space="preserve">Stabilization builds history</w:t>
      </w:r>
    </w:p>
    <w:p>
      <w:pPr>
        <w:pStyle w:val="FirstParagraph"/>
      </w:pPr>
      <w:r>
        <w:t xml:space="preserve">A stabilized configuration can later function as a constraint in another stabilization relation. Prior stabilizations can therefore shape what becomes possible next, creating a recursive basis for accumulated structure and path dependence.</w:t>
      </w:r>
    </w:p>
    <w:bookmarkEnd w:id="13"/>
    <w:bookmarkStart w:id="14" w:name="a-testable-universality-claim"/>
    <w:p>
      <w:pPr>
        <w:pStyle w:val="Heading3"/>
      </w:pPr>
      <w:r>
        <w:t xml:space="preserve">A testable universality claim</w:t>
      </w:r>
    </w:p>
    <w:p>
      <w:pPr>
        <w:pStyle w:val="FirstParagraph"/>
      </w:pPr>
      <w:r>
        <w:t xml:space="preserve">ST advances a claim of</w:t>
      </w:r>
      <w:r>
        <w:t xml:space="preserve"> </w:t>
      </w:r>
      <w:r>
        <w:rPr>
          <w:b/>
          <w:bCs/>
        </w:rPr>
        <w:t xml:space="preserve">domain universality at the level of existence</w:t>
      </w:r>
      <w:r>
        <w:t xml:space="preserve">: any existent configuration can, in principle, be analyzed through the same fixed pressure–constraint–stabilization architecture.</w:t>
      </w:r>
    </w:p>
    <w:p>
      <w:pPr>
        <w:pStyle w:val="BodyText"/>
      </w:pPr>
      <w:r>
        <w:t xml:space="preserve">That claim is falsifiable. If an adequately specified existent configuration cannot receive a valid PCS factorization without changing the role definitions—or if a fifth relation to discriminability exists beyond entry, persistence, transformation, and dissolution—the corresponding universality claim fails.</w:t>
      </w:r>
    </w:p>
    <w:p>
      <w:r>
        <w:pict>
          <v:rect style="width:0;height:1.5pt" o:hralign="center" o:hrstd="t" o:hr="t"/>
        </w:pict>
      </w:r>
    </w:p>
    <w:p>
      <w:pPr>
        <w:pStyle w:val="FirstParagraph"/>
      </w:pPr>
      <w:r>
        <w:rPr>
          <w:b/>
          <w:bCs/>
        </w:rPr>
        <w:t xml:space="preserve">Amanda Kenderes, Ph.D.</w:t>
      </w:r>
      <w:r>
        <w:br/>
      </w:r>
      <w:r>
        <w:t xml:space="preserve">Originator of Stabilization Theory</w:t>
      </w:r>
    </w:p>
    <w:p>
      <w:pPr>
        <w:pStyle w:val="BodyText"/>
      </w:pPr>
      <w:r>
        <w:rPr>
          <w:i/>
          <w:iCs/>
        </w:rPr>
        <w:t xml:space="preserve">Stabilization Theory: A Statement of the Framework</w:t>
      </w:r>
      <w:r>
        <w:br/>
      </w:r>
      <w:r>
        <w:t xml:space="preserve">Working Paper, Version 1.0 | 31 August 2026</w:t>
      </w:r>
      <w:r>
        <w:br/>
      </w:r>
      <w:r>
        <w:t xml:space="preserve">DOI: 10.5281/zenodo.22184965</w:t>
      </w:r>
    </w:p>
    <w:bookmarkEnd w:id="14"/>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